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bCs/>
          <w:sz w:val="32"/>
          <w:szCs w:val="32"/>
        </w:rPr>
      </w:pPr>
      <w:r>
        <w:rPr>
          <w:rFonts w:ascii="Times New Roman" w:hAnsi="Times New Roman" w:eastAsia="黑体"/>
          <w:bCs/>
          <w:sz w:val="32"/>
          <w:szCs w:val="32"/>
        </w:rPr>
        <w:t>附件1</w:t>
      </w:r>
    </w:p>
    <w:p>
      <w:pPr>
        <w:pStyle w:val="2"/>
        <w:ind w:firstLine="617"/>
        <w:rPr>
          <w:rFonts w:ascii="Times New Roman" w:hAnsi="Times New Roman"/>
        </w:rPr>
      </w:pPr>
    </w:p>
    <w:p>
      <w:pPr>
        <w:jc w:val="center"/>
        <w:rPr>
          <w:rFonts w:ascii="Times New Roman" w:hAnsi="Times New Roman" w:eastAsia="方正小标宋简体"/>
          <w:bCs/>
          <w:sz w:val="32"/>
          <w:szCs w:val="32"/>
        </w:rPr>
      </w:pPr>
      <w:r>
        <w:rPr>
          <w:rFonts w:ascii="Times New Roman" w:hAnsi="Times New Roman" w:eastAsia="方正小标宋简体"/>
          <w:bCs/>
          <w:sz w:val="44"/>
          <w:szCs w:val="44"/>
        </w:rPr>
        <w:t>2022年软科学研究类项目申报选题</w:t>
      </w:r>
    </w:p>
    <w:p>
      <w:pPr>
        <w:ind w:firstLine="640" w:firstLineChars="200"/>
        <w:rPr>
          <w:rFonts w:ascii="Times New Roman" w:hAnsi="Times New Roman" w:eastAsia="仿宋_GB2312"/>
          <w:sz w:val="32"/>
          <w:szCs w:val="32"/>
        </w:rPr>
      </w:pPr>
    </w:p>
    <w:p>
      <w:pPr>
        <w:ind w:firstLine="640" w:firstLineChars="200"/>
        <w:rPr>
          <w:rFonts w:ascii="Times New Roman" w:hAnsi="Times New Roman" w:eastAsia="仿宋_GB2312"/>
          <w:sz w:val="32"/>
          <w:szCs w:val="32"/>
        </w:rPr>
      </w:pPr>
      <w:r>
        <w:rPr>
          <w:rFonts w:ascii="Times New Roman" w:hAnsi="Times New Roman" w:eastAsia="仿宋_GB2312"/>
          <w:sz w:val="32"/>
          <w:szCs w:val="32"/>
        </w:rPr>
        <w:t>1.住房公积金异地贷款机制研究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2.住房公积金助力解决青年人住房问题政策研究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3.住房公积金风险防控体系建设研究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4.住房公积金服务提质扩面政策研究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5.住房公积金服务标准化规范化便利化水平提升研究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6.灵活就业人员缴存住房公积金业务系统建设方案研究</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7.保障性租赁住房REITs研究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8.建立同吸纳农业转移人口落户数量和提供保障性住房规模挂钩的城镇建设用地年度指标分配机制研究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9.加快发展保障性租赁住房研究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10.公租房运营管理服务水平提升研究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11.“问题楼盘”防范和化解机制研究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12.房地产行业数字化发展和评价机制研究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13.长租公寓可持续发展研究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14.面向多孩政策与居家养老趋势的住房发展研究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15.城市生态系统固碳减排效能与生态功能评价及系统提升策略研究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16.绿色城市框架体系研究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17.低碳建筑增量成本分析研究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18.建筑工程碳排放量与工程造价协同估算机制研究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19.“双碳”目标对工程造价咨询行业的影响及造价工程师在建筑碳计量分析中的作用研究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20.城乡建设领域碳达峰理论、方法学与路径研究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21.建筑领域推进电气化的路线图设计研究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22.绿色低碳建材在建筑领域应用研究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23.建筑物能耗和运行碳排放计量分析研究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24.村镇建设领域碳达峰、碳中和实施路径研究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25.城市体检评估综合评价标准研究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26.城市更新条例及配套规章研究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27.建筑设计水平提升机制研究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28.城市更新中的建设工程消防安全隐患分类分级和处置对策研究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29.城市更新规划编制办法研究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30.城市更新项目实施技术导则研究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31.社会资本参与城市更新的实施路径与支持性政策研究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32.城市全生命周期管理机制研究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33.城市更新背景下重大项目规建管协同路径研究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34.历史地段保护更新方法研究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35.城乡历史文化保护传承体系第三方评估指标、标准与机制研究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36.传统民居现代化研究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37.绿色建造评价体系研究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38.工程建设全过程绿色建造模式研究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39.工程勘察设计行业智能化发展研究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40.工程质量检测领域信息化监管应用研究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41.装配式建筑高质量绿色发展研究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42.注册建筑师及勘察设计注册工程师职业管理研究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43.建筑施工特种作业人员安全监管机制创新研究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44.工程建设项目智能化辅助审查方法研究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45.住宅工程质量保修期延长可行性研究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46.城乡适老化建设和改造技术标准研究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47.活力街区建设研究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48.完整社区建设的部门协作与居民参与机制研究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49.“新城建”可复制的机制模式总结及经济测算研究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50.城市信息模型（CIM）基础平台建设评估方法研究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51.新发展格局下城乡循环的路径优化与政策创新研究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52.以县城为重要载体的就地城镇化模式研究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53.村镇建设技术标准体系研究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54.农村新型社区功能与形态研究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55.乡村建设评价指标、方法与管理机制研究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56.县城和乡村“营建要点”落实机制研究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57.基于时空多元数据分析的小城镇分类研究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58.乡村风貌保护提升技术导则研究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59.乡村美好环境与幸福生活共同缔造的体制机制与配套政策研究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60.乡村转型基础理论研究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61.河南省电化学储能电站消防设计技术标准研究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62.河南省电动汽车充电站（桩）消防设计技术标准研究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63.河南省建筑工程消防施工质量管理技术标准研究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64.河南省建设工程竣工验收消防查验技术标准研究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65.河南省寄宿制培训机构消防设计技术标准研究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66.河南省剧本娱乐经营场所消防设计技术标准研究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67.河南省传统村落保护发展实施成效评价</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68.乡村振兴背景下农村人居环境整治研究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69.中原传统聚落空间形态特征、演变机制及规划应用研究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70.河南省传统村落空间演变规律研究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71.中原传统防御性堡寨聚落群系研究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72.河南省二级造价工程师职业资格考试培训教材编制研究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73.河南省历史建筑保护利用工作指引</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74.河南省城市住房租金监测和价格指数编制研究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75.河南省历史文化街区及历史建筑改造利用消防设计技术标准研究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76.存量背景下河南省城市片区统筹更新的挑战与实施路径研究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77.基于碳达峰碳中和的城乡建设绿色发展新模式设计及实现路径研究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78.基于推动绿色建筑、装配式建筑高质量发展的扬尘污染防治研究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79.推动河南省建安工程扬尘污染防治差异化管理费用投入研究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80.老</w:t>
      </w:r>
      <w:r>
        <w:rPr>
          <w:rFonts w:ascii="Times New Roman" w:hAnsi="Times New Roman" w:eastAsia="仿宋_GB2312"/>
          <w:sz w:val="32"/>
          <w:szCs w:val="32"/>
          <w:shd w:val="clear" w:color="auto" w:fill="FFFFFF"/>
          <w:lang w:val="en"/>
        </w:rPr>
        <w:t>城区积水易涝区成因分析及对策研究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81.房地产业转型升级研究</w:t>
      </w:r>
    </w:p>
    <w:p>
      <w:pPr>
        <w:spacing w:line="600" w:lineRule="exact"/>
        <w:ind w:firstLine="640" w:firstLineChars="200"/>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82.河南省绿色建材产品推广应用方法课题研究</w:t>
      </w:r>
    </w:p>
    <w:p>
      <w:pPr>
        <w:spacing w:line="600" w:lineRule="exact"/>
        <w:ind w:firstLine="420" w:firstLineChars="200"/>
        <w:rPr>
          <w:rFonts w:ascii="Times New Roman" w:hAnsi="Times New Roman" w:eastAsia="仿宋_GB2312"/>
          <w:sz w:val="32"/>
          <w:szCs w:val="32"/>
          <w:shd w:val="clear" w:color="auto" w:fill="FFFFFF"/>
          <w:lang w:val="en"/>
        </w:rPr>
      </w:pPr>
      <w:r>
        <w:rPr>
          <w:rFonts w:ascii="Times New Roman" w:hAnsi="Times New Roman" w:eastAsia="仿宋_GB2312"/>
        </w:rPr>
        <w:t xml:space="preserve">  </w:t>
      </w:r>
      <w:r>
        <w:rPr>
          <w:rFonts w:ascii="Times New Roman" w:hAnsi="Times New Roman" w:eastAsia="仿宋_GB2312"/>
          <w:sz w:val="32"/>
          <w:szCs w:val="32"/>
          <w:shd w:val="clear" w:color="auto" w:fill="FFFFFF"/>
        </w:rPr>
        <w:t>83.</w:t>
      </w:r>
      <w:r>
        <w:rPr>
          <w:rFonts w:ascii="Times New Roman" w:hAnsi="Times New Roman" w:eastAsia="仿宋_GB2312"/>
          <w:sz w:val="32"/>
          <w:szCs w:val="32"/>
          <w:shd w:val="clear" w:color="auto" w:fill="FFFFFF"/>
          <w:lang w:val="en"/>
        </w:rPr>
        <w:t>灵活就业人员建缴住房公积金制度探索与思考</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6DE25C8A"/>
    <w:rsid w:val="6DE25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adjustRightInd w:val="0"/>
      <w:snapToGrid w:val="0"/>
      <w:spacing w:after="120" w:line="353" w:lineRule="auto"/>
      <w:ind w:firstLine="576" w:firstLineChars="200"/>
    </w:pPr>
    <w:rPr>
      <w:rFonts w:ascii="Calibri" w:hAnsi="Calibri"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2022-08-19T03:43:00Z</dcterms:created>
  <dc:creator>Cathy</dc:creator>
  <cp:lastModifiedBy>Cathy</cp:lastModifiedBy>
  <dcterms:modified xsi:type="dcterms:W3CDTF">2022-08-19T03:43:26Z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4E2D3FAE44E3436B9210B6D3F6233D80</vt:lpwstr>
  </property>
</Properties>
</file>